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2016 195 vom 11. April 2017</w:t>
      </w:r>
    </w:p>
    <w:p>
      <w:r>
        <w:t>SZ Gerichte, 2017-04-11, DE</w:t>
      </w:r>
    </w:p>
    <w:p>
      <w:r>
        <w:rPr>
          <w:b/>
        </w:rPr>
        <w:t xml:space="preserve">Quelle: </w:t>
      </w:r>
      <w:r>
        <w:t>https://mcp.opencaselaw.ch/entscheid/sz_gerichte_BEK 2016 195</w:t>
      </w:r>
    </w:p>
    <w:p>
      <w:r>
        <w:t>FR: SZ_GERICHTE BEK 2016 195 du 11 avril 2017</w:t>
      </w:r>
    </w:p>
    <w:p>
      <w:r>
        <w:t>IT: SZ_GERICHTE BEK 2016 195 del 11 aprile 2017</w:t>
      </w:r>
    </w:p>
    <w:p>
      <w:pPr>
        <w:pStyle w:val="Heading2"/>
      </w:pPr>
      <w:r>
        <w:t>Regeste</w:t>
      </w:r>
    </w:p>
    <w:p>
      <w:r>
        <w:t>Einstellung (Kosten- und Entschädigungsfolgen) | Kosten- und Entschädigungsfolgen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Innerschwyz, Postfach 562, Schmiedgasse 21, 6431 Schwyz, \n Strafverfolgungsbehörde und Beschwerdegegnerin, \n vertreten durch Staatsanwalt C.________,</w:t>
      </w:r>
    </w:p>
    <w:p>
      <w:r>
        <w:rPr>
          <w:b/>
        </w:rPr>
        <w:t>E. 2</w:t>
      </w:r>
    </w:p>
    <w:p>
      <w:r>
        <w:t>D.________ , \n Privatklägerin und Beschwerdegegnerin, \n \n \n \n \n \n \n \n betreffend \n Einstellung (Kosten- und Entschädigungsfolgen) \n \n \n \n (Beschwerde gegen die Einstellungsverfügung der Staatsanwaltschaft Innerschwyz vom 14. Dezember 2016, SUI 2014 3936);- \n \n hat die Beschwerdekammer, \n \n nachdem sich ergeben und in Erwägung: \n \n Mit Verfügung vom 14. Dezember 2016 stellte die Staatsanwaltschaft Innerschwyz (nachfolgend: Strafverfolgungsbehörde) gestützt auf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